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ac46297abec469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14187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VI. OSNOVNA ŠKOLA VARAŽDIN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3.346.134,06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3.601.857,00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3.232.054,32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3.687.257,20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85.400,20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110.715,43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83.775,22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110.715,43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83.775,22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169.175,42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t xml:space="preserve">U razdoblju od 1. siječnja do 31. prosinca 2025. ostvaren je manjak prihoda poslovanja u iznosu od 85.400,20 EUR. Manjak je ostvaren zbog ukidanja kontinuiranih rashoda propisanog novim Pravilnikom o proračunskom računovodstvu i računskom planu (jednokratan efekt zbog iskazivanja rashoda za plaće MZOM i naknade zbog nezapošljavanja propisanog broja osoba sa invaliditetom za prosinac prethodne godine uz predmetne rashode za razdoblje siječanj-prosinac tekuće godine). Zbog ukidanja kontinuiranih rashoda iskazano je više rashoda poslovanja u iznosu 174.720,91 EUR. Bez tog jednokratnog utjecaja na rezultat poslovanja bi, dakle, bio ostvaren višak prihoda poslovanja u iznosu 89.320,71 EUR.</w:t>
      </w:r>
    </w:p>
    <w:p>
      <w:pPr>
        <w:jc w:val="both"/>
      </w:pPr>
      <w:r>
        <w:t xml:space="preserve">Najznačajnije povećanje prihoda poslovanja ostvareno je iz nadležnog proračuna, a povećane su i pomoći iz državnog proračuna te prihodi od prodaje proizvoda učeničke zadruge i usluga od iznajmljivanja prostora (ponajprije sportskih dvorana). S druge strane, smanjeni su prihodi od sufinanciranja roditelja za usluge prehrane, produženog boravka i ostalih usluga (npr. osiguranje učenika, dodatni nastavni materijali, fotografiranje na kraju školske godine, nabava školskih obilježja…), prihodi od pomoći iz državnog proračuna temeljem prijenosa EU sredstava (Erasmus+ program mobilnosti) te u najvećem postotku prihodi od donacija s obzirom da je prošle godine organizirana humanitarna akcija za bolesno dijete jedne zaposlenice.</w:t>
      </w:r>
    </w:p>
    <w:p>
      <w:pPr>
        <w:jc w:val="both"/>
      </w:pPr>
      <w:r>
        <w:t xml:space="preserve">Najznačajnije povećanje rashoda poslovanja (osim spomenutog ukidanja kontinuiranih rashoda) ostvareno je za donacije u novcu (sredstva od humanitarne akcije za bolesno dijete zaposlenice prikupljena u prošloj godini). U okviru materijalnih rashoda koji su porasli u manjoj mjeri u odnosu na isto razdoblje prethodne godine povećani su rashodi za naknade troškova zaposlenima (službena putovanja, prijevoz na posao i s posla najvećim dijelom kao rezultat ukidanja kontinuiranih rashoda te gotovo dvostruko rashodi za stručno usavršavanje zaposlenika – programi mobilnosti), nadalje materijal (namirnice za besplatni topli obrok koji financira MZOM) i energiju, rashodi za telekomunikacijske usluge, održavanje, komunalne usluge i zakupnine, a posebice naknade troškova osobama izvan radnog odnosa i usluge promidžbe i informiranja (troškovi koji se odnose na učenike koji sudjeluju u programima mobilnosti odnosno pokloni i promidžba) te rashodi za pristojbe i naknade (naknada za nezapošljavanje propisane kvote osoba sa invaliditetom zbog povećanja minimalne plaće koja je osnovica za obračun naknade te posebice ukidanja kontinuiranih rashoda).</w:t>
      </w:r>
    </w:p>
    <w:p>
      <w:pPr>
        <w:jc w:val="both"/>
      </w:pPr>
      <w:r>
        <w:t xml:space="preserve">Do značajnog smanjenja rashoda došlo je na poziciji ostalih usluga jer se više ne evidentiraju rashodi za višednevne izlete, škole u prirodi i sl. s obzirom da uslugu sada naručuju direktno roditelji od turističkih agencija te istima plaćaju. U određenoj mjeri su smanjeni rashodi za materijal za održavanje, sitan inventar, zdravstvene usluge te intelektualne i osobne usluge.  </w:t>
      </w:r>
    </w:p>
    <w:p>
      <w:pPr>
        <w:jc w:val="both"/>
      </w:pPr>
      <w:r>
        <w:t xml:space="preserve">U navedenom razdoblju nema ostvarenih prihoda od prodaje nefinancijske imovine, dok su rashodi za nabavu nefinancijske imovine ostvareni u iznosu 83.775,22 EUR. Navedeni rashodi odnose se na nabavu učioničkog namještaja, interaktivnih zaslona i televizora za potrebe nastave, prijenosnih računala za nastavnike, sustava video nadzora, klima uređaja za kuhinju, knjiga za školsku knjižnicu te jednog mobitela za potrebe uprave škole.</w:t>
      </w:r>
    </w:p>
    <w:p>
      <w:pPr>
        <w:jc w:val="both"/>
      </w:pPr>
      <w:r>
        <w:t xml:space="preserve">U navedenom razdoblju nije bilo ostvarenih primitaka i izdataka od financijske imovine i zaduživanja. U razdoblju od 1. siječnja do 31. prosinca 2025. ostvaren je manjak prihoda poslovanja u iznosu od 85.400,20 EUR, manjak prihoda od nefinancijske imovine u iznosu od 83.775,22 EUR, slijedom čega je na kraju izvještajnog razdoblja ostvaren ukupni manjak prihoda i primitaka u iznosu od 169.175,42 EUR.</w:t>
      </w:r>
    </w:p>
    <w:p>
      <w:r>
        <w:br/>
      </w:r>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Stanje dospjelih obveza na dan 31.12.2025. iznosi 0,14% od ukupno iskazanih obveza. Na kraju prethodne godine dospjele obveze činile su 0,76% ukupnih obveza.</w:t>
      </w:r>
    </w:p>
    <w:p>
      <w:pPr>
        <w:jc w:val="both"/>
      </w:pPr>
      <w:r>
        <w:t xml:space="preserve">Iznos dospjelih obveza je zanemariv, a radi se o tek nekoliko računa dobavljača zaprimljenih na samom kraju godine, a koji imaju izrazito kratke rokove dospijeća (7 dana i manje).</w:t>
      </w:r>
    </w:p>
    <w:p>
      <w:pPr>
        <w:jc w:val="both"/>
      </w:pPr>
      <w:r>
        <w:t xml:space="preserve">Takav izrazito dobar pokazatelj rezultat je ažurnog slanja zahtjeva za plaćanje osnivaču po kojima se redovito postupa tako da računi uglavnom budu plaćeni prije dospjelosti. Također se obveze koje se plaćaju sa žiro računa škole podmiruju prije dospjelosti s obzirom na izvrsnu likvidnost, a zahvaljujući redovnoj naplati usluga prehrane i pruženih usluga najma prostora. Obveze se stvaraju isključivo u okviru raspoloživih sredstava pazeći pri tome da višak likvidnosti bude dovoljan za podmirenje očekivanih rashoda barem za jedan mjesec.</w:t>
      </w:r>
    </w:p>
    <w:p/>
    <w:p>
      <w:pPr>
        <w:jc w:val="center"/>
        <w:pStyle w:val="Normal"/>
        <w:spacing w:line="240" w:lineRule="auto"/>
        <w:keepNext/>
      </w:pPr>
      <w:r>
        <w:rPr>
          <w:sz w:val="28"/>
          <w:rFonts w:ascii="Times New Roman" w:hAnsi="Times New Roman"/>
        </w:rPr>
        <w:t xml:space="preserve">Bilješka 3.</w:t>
      </w:r>
    </w:p>
    <w:p>
      <w:pPr>
        <w:jc w:val="both"/>
        <w:pStyle w:val="Normal"/>
        <w:spacing w:line="240" w:lineRule="auto"/>
      </w:pPr>
      <w:r>
        <w:rPr>
          <w:b/>
          <w:sz w:val="24"/>
          <w:rFonts w:ascii="Times New Roman" w:hAnsi="Times New Roman"/>
        </w:rPr>
        <w:t xml:space="preserve">EU izvještaj</w:t>
      </w:r>
    </w:p>
    <w:p>
      <w:pPr>
        <w:jc w:val="both"/>
      </w:pPr>
      <w:r>
        <w:t xml:space="preserve">Škola je ostvarila akreditaciju kod Agencije za mobilnost i programe EU te temeljem toga prijavljuje projekte mobilnosti svake godine, počevši od 2024. godine. Radi se o Programima unije kojima izravno upravlja Europska komisija.</w:t>
      </w:r>
    </w:p>
    <w:p>
      <w:pPr>
        <w:jc w:val="both"/>
      </w:pPr>
      <w:r>
        <w:t xml:space="preserve">U 2024. godini škola je primila predujam (80% od ugovorenog projekta) u iznosu 17.492 EUR. Od tog iznosa u prošloj godini utrošeno je za aktivnosti mobilnosti 6.209,37 EUR, a preneseno je u 2025. godinu 11.282,63 EUR. Za projekt je u toku godine podneseno završno izvješće te je od AMPEU škola primila dodatnih 4.373 EUR. U 2025. godini za projektne aktivnosti je utrošeno 14.039,05 EUR, a preostalo je još 1.616,58 EUR.</w:t>
      </w:r>
    </w:p>
    <w:p>
      <w:pPr>
        <w:jc w:val="both"/>
      </w:pPr>
      <w:r>
        <w:t xml:space="preserve">U 2025. godini školi je odobren novi projekt te je primila predujam u iznosu 25.596 EUR. U toku godine za projektne aktivnosti utrošeno je 6.869,36 EUR. Završno izvješće biti će podneseno u 2026. godini te se očekuje završna isplata u iznosu 6.399 EUR.</w:t>
      </w:r>
    </w:p>
    <w:p>
      <w:pPr>
        <w:jc w:val="both"/>
      </w:pPr>
      <w:r>
        <w:t xml:space="preserve">Temeljem nove metodologije u 2025. godini iskazano je 15.579,63 EUR prihoda od pomoći temeljem prijenosa EU sredstava. Saldo potraživanja za pomoći iz državnog proračuna temeljem prijenosa EU sredstava i obračunatih prihoda na dan 31.12. iznosi 6.869,36 EUR, dok je saldo obveza za predujmove od AMPEU 25.596 EUR (novi projekt u 2025. god.). Na izvanbilančnim zapisima evidentirana su potraživanja po ugovorima o dodijeljenim EU sredstvima u iznosu 31.995 EUR.</w:t>
      </w:r>
    </w:p>
    <w:p>
      <w:pPr>
        <w:jc w:val="both"/>
      </w:pPr>
      <w:r>
        <w:t xml:space="preserve">Škola je također sudionica programa INTERREG Slovenija-Hrvatska u okviru kojeg joj je odobren projekt pod nazivom „Arena“. Program se financira iz Europskog fonda za regionalni razvoj. U 2025. godini škola je utrošila za projektne aktivnosti 2.889,21 EUR koje je predfinancirala iz vlastitih sredstava.</w:t>
      </w:r>
    </w:p>
    <w:p>
      <w:pPr>
        <w:jc w:val="both"/>
      </w:pPr>
      <w:r>
        <w:t xml:space="preserve">Škola ima na izvanbilančnim zapisima evidentirano 15.974,40 EUR potraživanja po ugovorima o dodijeljenim EU sredstvima. Za isti iznos biti će podneseno završno izvješće u 2026. godini. Temeljem sporazuma između škole kao nositeljice projekta i partnera škole „Hajdina“ iz Slovenije istoj će nakon prihvaćenog završnog izvješća biti preneseno 50% sredstava odnosno iznos od 7.987,20 EUR.</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892ca61d9d74133" /></Relationships>
</file>